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</w:p>
    <w:p w:rsidR="00A91A72" w:rsidRDefault="00A91A72" w:rsidP="0040241E">
      <w:pPr>
        <w:jc w:val="center"/>
        <w:rPr>
          <w:rFonts w:ascii="Times New Roman" w:eastAsia="Times New Roman" w:hAnsi="Times New Roman" w:cs="Times New Roman"/>
        </w:rPr>
      </w:pPr>
    </w:p>
    <w:p w:rsidR="00A91A72" w:rsidRDefault="00A91A72" w:rsidP="0040241E">
      <w:pPr>
        <w:jc w:val="center"/>
        <w:rPr>
          <w:rFonts w:ascii="Times New Roman" w:eastAsia="Times New Roman" w:hAnsi="Times New Roman" w:cs="Times New Roman"/>
        </w:rPr>
      </w:pPr>
    </w:p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MINISTERUL SĂNĂTĂŢII</w:t>
      </w:r>
    </w:p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17145</wp:posOffset>
            </wp:positionV>
            <wp:extent cx="499745" cy="784225"/>
            <wp:effectExtent l="19050" t="0" r="0" b="0"/>
            <wp:wrapNone/>
            <wp:docPr id="2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DIRECŢIA DE SĂNĂTATE PUBLICĂ DÂMBOVIŢA</w:t>
      </w:r>
    </w:p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Str. </w:t>
      </w:r>
      <w:proofErr w:type="spellStart"/>
      <w:r>
        <w:rPr>
          <w:rFonts w:ascii="Times New Roman" w:eastAsia="Times New Roman" w:hAnsi="Times New Roman" w:cs="Times New Roman"/>
        </w:rPr>
        <w:t>T.Vladimirescu</w:t>
      </w:r>
      <w:proofErr w:type="spellEnd"/>
      <w:r>
        <w:rPr>
          <w:rFonts w:ascii="Times New Roman" w:eastAsia="Times New Roman" w:hAnsi="Times New Roman" w:cs="Times New Roman"/>
        </w:rPr>
        <w:t xml:space="preserve"> nr.15-19, cod 130095, </w:t>
      </w:r>
      <w:proofErr w:type="spellStart"/>
      <w:r>
        <w:rPr>
          <w:rFonts w:ascii="Times New Roman" w:eastAsia="Times New Roman" w:hAnsi="Times New Roman" w:cs="Times New Roman"/>
        </w:rPr>
        <w:t>Târgovişte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jud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Dâmboviţa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:rsidR="0040241E" w:rsidRDefault="00D027B2" w:rsidP="0040241E">
      <w:pPr>
        <w:jc w:val="center"/>
        <w:rPr>
          <w:rFonts w:ascii="Times New Roman" w:eastAsia="Times New Roman" w:hAnsi="Times New Roman" w:cs="Times New Roman"/>
        </w:rPr>
      </w:pPr>
      <w:r w:rsidRPr="00D027B2">
        <w:pict>
          <v:rect id="_x0000_s1027" style="position:absolute;left:0;text-align:left;margin-left:173.25pt;margin-top:7.9pt;width:218.45pt;height:50pt;z-index:-251658240;mso-position-horizontal-relative:page" o:allowincell="f" filled="f" stroked="f">
            <v:textbox inset="0,0,0,0">
              <w:txbxContent>
                <w:p w:rsidR="0040241E" w:rsidRDefault="0040241E" w:rsidP="0040241E">
                  <w:pPr>
                    <w:spacing w:line="1000" w:lineRule="atLeast"/>
                    <w:rPr>
                      <w:rFonts w:hint="eastAsia"/>
                    </w:rPr>
                  </w:pPr>
                </w:p>
                <w:p w:rsidR="0040241E" w:rsidRDefault="0040241E" w:rsidP="0040241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hint="eastAsia"/>
                    </w:rPr>
                  </w:pPr>
                </w:p>
              </w:txbxContent>
            </v:textbox>
            <w10:wrap anchorx="page"/>
          </v:rect>
        </w:pict>
      </w:r>
      <w:r w:rsidR="0040241E">
        <w:rPr>
          <w:rFonts w:ascii="Times New Roman" w:eastAsia="Times New Roman" w:hAnsi="Times New Roman" w:cs="Times New Roman"/>
        </w:rPr>
        <w:t>Tel. 0245-613604, fax 0245-611067</w:t>
      </w:r>
    </w:p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 </w:t>
      </w:r>
      <w:proofErr w:type="gramStart"/>
      <w:r>
        <w:rPr>
          <w:rFonts w:ascii="Times New Roman" w:eastAsia="Times New Roman" w:hAnsi="Times New Roman" w:cs="Times New Roman"/>
        </w:rPr>
        <w:t>mail</w:t>
      </w:r>
      <w:proofErr w:type="gramEnd"/>
      <w:r>
        <w:rPr>
          <w:rFonts w:ascii="Times New Roman" w:eastAsia="Times New Roman" w:hAnsi="Times New Roman" w:cs="Times New Roman"/>
        </w:rPr>
        <w:t xml:space="preserve"> dspdambovita@dspdambovita.ro,</w:t>
      </w:r>
    </w:p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Cod operator date cu </w:t>
      </w:r>
      <w:proofErr w:type="spellStart"/>
      <w:r>
        <w:rPr>
          <w:rFonts w:ascii="Times New Roman" w:eastAsia="Times New Roman" w:hAnsi="Times New Roman" w:cs="Times New Roman"/>
        </w:rPr>
        <w:t>caracter</w:t>
      </w:r>
      <w:proofErr w:type="spellEnd"/>
      <w:r>
        <w:rPr>
          <w:rFonts w:ascii="Times New Roman" w:eastAsia="Times New Roman" w:hAnsi="Times New Roman" w:cs="Times New Roman"/>
        </w:rPr>
        <w:t xml:space="preserve"> personal nr.12777</w:t>
      </w:r>
    </w:p>
    <w:p w:rsidR="0040241E" w:rsidRDefault="00C75424" w:rsidP="004024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Nr. 11623/ 01.09.2023</w:t>
      </w:r>
    </w:p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</w:p>
    <w:p w:rsidR="0040241E" w:rsidRDefault="0040241E" w:rsidP="0040241E">
      <w:pPr>
        <w:jc w:val="center"/>
        <w:rPr>
          <w:rFonts w:ascii="Times New Roman" w:eastAsia="Times New Roman" w:hAnsi="Times New Roman" w:cs="Times New Roman"/>
        </w:rPr>
      </w:pPr>
    </w:p>
    <w:p w:rsidR="0040241E" w:rsidRDefault="00C606C2" w:rsidP="0040241E">
      <w:pPr>
        <w:jc w:val="center"/>
        <w:rPr>
          <w:rFonts w:ascii="Times New Roman" w:hAnsi="Times New Roman" w:cs="Calibri"/>
          <w:b/>
          <w:bCs/>
          <w:color w:val="000000"/>
          <w:lang w:val="ro-RO"/>
        </w:rPr>
      </w:pPr>
      <w:r>
        <w:rPr>
          <w:rFonts w:ascii="Times New Roman" w:hAnsi="Times New Roman" w:cs="Calibri"/>
          <w:b/>
          <w:bCs/>
          <w:color w:val="000000"/>
          <w:lang w:val="ro-RO"/>
        </w:rPr>
        <w:t>COMUNICAT  DE  PRES</w:t>
      </w:r>
      <w:r>
        <w:rPr>
          <w:rFonts w:ascii="Times New Roman" w:hAnsi="Times New Roman" w:cs="Times New Roman"/>
          <w:b/>
          <w:bCs/>
          <w:color w:val="000000"/>
          <w:lang w:val="ro-RO"/>
        </w:rPr>
        <w:t>Å</w:t>
      </w:r>
    </w:p>
    <w:p w:rsidR="0040241E" w:rsidRDefault="00C606C2" w:rsidP="0040241E">
      <w:pPr>
        <w:jc w:val="center"/>
        <w:rPr>
          <w:rFonts w:ascii="Times New Roman" w:hAnsi="Times New Roman" w:cs="Calibri"/>
          <w:b/>
          <w:bCs/>
          <w:color w:val="000000"/>
          <w:lang w:val="ro-RO"/>
        </w:rPr>
      </w:pPr>
      <w:r>
        <w:rPr>
          <w:rFonts w:ascii="Times New Roman" w:hAnsi="Times New Roman" w:cs="Calibri"/>
          <w:b/>
          <w:bCs/>
          <w:color w:val="000000"/>
          <w:lang w:val="ro-RO"/>
        </w:rPr>
        <w:t>LUNA  NA</w:t>
      </w:r>
      <w:r>
        <w:rPr>
          <w:rFonts w:ascii="Times New Roman" w:hAnsi="Times New Roman" w:cs="Times New Roman"/>
          <w:b/>
          <w:bCs/>
          <w:color w:val="000000"/>
          <w:lang w:val="ro-RO"/>
        </w:rPr>
        <w:t>Ț</w:t>
      </w:r>
      <w:r>
        <w:rPr>
          <w:rFonts w:ascii="Times New Roman" w:hAnsi="Times New Roman" w:cs="Calibri"/>
          <w:b/>
          <w:bCs/>
          <w:color w:val="000000"/>
          <w:lang w:val="ro-RO"/>
        </w:rPr>
        <w:t>IONAL</w:t>
      </w:r>
      <w:r>
        <w:rPr>
          <w:rFonts w:ascii="Times New Roman" w:hAnsi="Times New Roman" w:cs="Times New Roman"/>
          <w:b/>
          <w:bCs/>
          <w:color w:val="000000"/>
          <w:lang w:val="ro-RO"/>
        </w:rPr>
        <w:t>Å</w:t>
      </w:r>
      <w:r w:rsidR="0040241E">
        <w:rPr>
          <w:rFonts w:ascii="Times New Roman" w:hAnsi="Times New Roman" w:cs="Calibri"/>
          <w:b/>
          <w:bCs/>
          <w:color w:val="000000"/>
          <w:lang w:val="ro-RO"/>
        </w:rPr>
        <w:t xml:space="preserve">  DE INFORMARE DESPRE BOLI TRANSMISIBILE</w:t>
      </w:r>
    </w:p>
    <w:p w:rsidR="0040241E" w:rsidRPr="0040241E" w:rsidRDefault="008F33F6" w:rsidP="008F33F6">
      <w:pPr>
        <w:pStyle w:val="ListParagraph"/>
        <w:ind w:left="1440"/>
        <w:rPr>
          <w:rFonts w:ascii="Times New Roman" w:hAnsi="Times New Roman" w:cs="Calibri"/>
          <w:b/>
          <w:bCs/>
          <w:color w:val="000000"/>
          <w:lang w:val="ro-RO"/>
        </w:rPr>
      </w:pPr>
      <w:r>
        <w:rPr>
          <w:rFonts w:ascii="Times New Roman" w:hAnsi="Times New Roman" w:cs="Calibri"/>
          <w:b/>
          <w:bCs/>
          <w:color w:val="000000"/>
          <w:lang w:val="ro-RO"/>
        </w:rPr>
        <w:t xml:space="preserve">                                 SEPTEMBRIE 2023 </w:t>
      </w:r>
    </w:p>
    <w:p w:rsidR="0040241E" w:rsidRDefault="0040241E" w:rsidP="0040241E">
      <w:pPr>
        <w:jc w:val="both"/>
        <w:rPr>
          <w:rFonts w:ascii="Times New Roman" w:eastAsia="SimSun" w:hAnsi="Times New Roman" w:cs="Times New Roman"/>
          <w:b/>
          <w:bCs/>
          <w:lang w:val="ro-RO" w:bidi="ar-SA"/>
        </w:rPr>
      </w:pPr>
    </w:p>
    <w:p w:rsidR="0040241E" w:rsidRPr="009E78F1" w:rsidRDefault="0040241E" w:rsidP="001E54B0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Ministerul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Sănătății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>,</w:t>
      </w:r>
      <w:r w:rsidRPr="009E78F1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sprijinul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Institutului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Nați</w:t>
      </w:r>
      <w:r w:rsidR="00741488" w:rsidRPr="009E78F1">
        <w:rPr>
          <w:rFonts w:ascii="Times New Roman" w:hAnsi="Times New Roman" w:cs="Times New Roman"/>
          <w:sz w:val="26"/>
          <w:szCs w:val="26"/>
        </w:rPr>
        <w:t>onal</w:t>
      </w:r>
      <w:proofErr w:type="spellEnd"/>
      <w:r w:rsidR="00741488" w:rsidRPr="009E78F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41488" w:rsidRPr="009E78F1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="00741488"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1488" w:rsidRPr="009E78F1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="00741488"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1488" w:rsidRPr="009E78F1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741488" w:rsidRPr="009E78F1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741488" w:rsidRPr="009E78F1">
        <w:rPr>
          <w:rFonts w:ascii="Times New Roman" w:hAnsi="Times New Roman" w:cs="Times New Roman"/>
          <w:sz w:val="26"/>
          <w:szCs w:val="26"/>
        </w:rPr>
        <w:t>Direcțiilor</w:t>
      </w:r>
      <w:proofErr w:type="spellEnd"/>
      <w:r w:rsidR="00741488" w:rsidRPr="009E78F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41488" w:rsidRPr="009E78F1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="00741488"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1488" w:rsidRPr="009E78F1">
        <w:rPr>
          <w:rFonts w:ascii="Times New Roman" w:hAnsi="Times New Roman" w:cs="Times New Roman"/>
          <w:sz w:val="26"/>
          <w:szCs w:val="26"/>
        </w:rPr>
        <w:t>P</w:t>
      </w:r>
      <w:r w:rsidRPr="009E78F1">
        <w:rPr>
          <w:rFonts w:ascii="Times New Roman" w:hAnsi="Times New Roman" w:cs="Times New Roman"/>
          <w:sz w:val="26"/>
          <w:szCs w:val="26"/>
        </w:rPr>
        <w:t>ublică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E54B0" w:rsidRPr="009E78F1">
        <w:rPr>
          <w:rFonts w:ascii="Times New Roman" w:hAnsi="Times New Roman" w:cs="Times New Roman"/>
          <w:sz w:val="26"/>
          <w:szCs w:val="26"/>
        </w:rPr>
        <w:t>d</w:t>
      </w:r>
      <w:r w:rsidRPr="009E78F1">
        <w:rPr>
          <w:rFonts w:ascii="Times New Roman" w:hAnsi="Times New Roman" w:cs="Times New Roman"/>
          <w:sz w:val="26"/>
          <w:szCs w:val="26"/>
        </w:rPr>
        <w:t>esfășoară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parcursul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lunii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septembrie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2023,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activități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informare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educare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comunicare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Campaniei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54B0" w:rsidRPr="009E78F1">
        <w:rPr>
          <w:rFonts w:ascii="Times New Roman" w:hAnsi="Times New Roman" w:cs="Times New Roman"/>
          <w:b/>
          <w:sz w:val="26"/>
          <w:szCs w:val="26"/>
        </w:rPr>
        <w:t>“</w:t>
      </w:r>
      <w:r w:rsidRPr="009E78F1">
        <w:rPr>
          <w:rFonts w:ascii="Times New Roman" w:hAnsi="Times New Roman" w:cs="Times New Roman"/>
          <w:b/>
          <w:sz w:val="26"/>
          <w:szCs w:val="26"/>
        </w:rPr>
        <w:t xml:space="preserve">Luna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Națională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Informare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despre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Boli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Transmisibile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Gripa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vaccinarea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antigripală</w:t>
      </w:r>
      <w:proofErr w:type="spellEnd"/>
      <w:r w:rsidRPr="009E78F1">
        <w:rPr>
          <w:rFonts w:ascii="Times New Roman" w:hAnsi="Times New Roman" w:cs="Times New Roman"/>
          <w:b/>
          <w:sz w:val="26"/>
          <w:szCs w:val="26"/>
        </w:rPr>
        <w:t xml:space="preserve">; SARS-CoV-2 </w:t>
      </w:r>
      <w:proofErr w:type="spellStart"/>
      <w:r w:rsidRPr="009E78F1">
        <w:rPr>
          <w:rFonts w:ascii="Times New Roman" w:hAnsi="Times New Roman" w:cs="Times New Roman"/>
          <w:b/>
          <w:sz w:val="26"/>
          <w:szCs w:val="26"/>
        </w:rPr>
        <w:t>ș</w:t>
      </w:r>
      <w:r w:rsidR="001E54B0" w:rsidRPr="009E78F1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1E54B0"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E54B0" w:rsidRPr="009E78F1">
        <w:rPr>
          <w:rFonts w:ascii="Times New Roman" w:hAnsi="Times New Roman" w:cs="Times New Roman"/>
          <w:b/>
          <w:sz w:val="26"/>
          <w:szCs w:val="26"/>
        </w:rPr>
        <w:t>vaccinarea</w:t>
      </w:r>
      <w:proofErr w:type="spellEnd"/>
      <w:r w:rsidR="001E54B0" w:rsidRPr="009E78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E54B0" w:rsidRPr="009E78F1">
        <w:rPr>
          <w:rFonts w:ascii="Times New Roman" w:hAnsi="Times New Roman" w:cs="Times New Roman"/>
          <w:b/>
          <w:sz w:val="26"/>
          <w:szCs w:val="26"/>
        </w:rPr>
        <w:t>împotriva</w:t>
      </w:r>
      <w:proofErr w:type="spellEnd"/>
      <w:r w:rsidR="001E54B0" w:rsidRPr="009E78F1">
        <w:rPr>
          <w:rFonts w:ascii="Times New Roman" w:hAnsi="Times New Roman" w:cs="Times New Roman"/>
          <w:b/>
          <w:sz w:val="26"/>
          <w:szCs w:val="26"/>
        </w:rPr>
        <w:t xml:space="preserve"> COVID-19”.</w:t>
      </w:r>
    </w:p>
    <w:p w:rsidR="0040241E" w:rsidRPr="009E78F1" w:rsidRDefault="0040241E" w:rsidP="00F00EBE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Gripa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,</w:t>
      </w:r>
      <w:r w:rsidRPr="009E78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deși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cele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mai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multe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ori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este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considerată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o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afecțiune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banală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este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o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boală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infecțioasă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foarte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contagioasă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, cu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morbiditate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mortalitate</w:t>
      </w:r>
      <w:proofErr w:type="spellEnd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semnificative</w:t>
      </w:r>
      <w:proofErr w:type="spellEnd"/>
      <w:r w:rsidR="00741488"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,</w:t>
      </w:r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fiind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responsabilă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pentru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până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la 50 de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milioane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cazuri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simptomatice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fiecare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an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Uniunea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Europeană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/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Spațiul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Economic European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de 15.000-70.000 de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decese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pe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an. </w:t>
      </w:r>
    </w:p>
    <w:p w:rsidR="0040241E" w:rsidRPr="009E78F1" w:rsidRDefault="0040241E" w:rsidP="00741488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Vaccinarea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proofErr w:type="gram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este</w:t>
      </w:r>
      <w:proofErr w:type="spellEnd"/>
      <w:proofErr w:type="gram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cea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mai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eficientă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formă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prevenire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a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gripei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.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Acoperirea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vaccinală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pentru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gripă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unele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țări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europene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inclusiv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România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este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sub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ținta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recomandată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de 75%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pentru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vârstnici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, cu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toate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că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această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intervenție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sănătate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publică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previne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jur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de 37.000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decese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Uniunea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Europeană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fiecare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an.</w:t>
      </w:r>
    </w:p>
    <w:p w:rsidR="0040241E" w:rsidRPr="009E78F1" w:rsidRDefault="0040241E" w:rsidP="00741488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  <w:proofErr w:type="spellStart"/>
      <w:proofErr w:type="gramStart"/>
      <w:r w:rsidRPr="009E78F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România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, de la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începutul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sezonului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gripal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2022-2023 au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fost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raportate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3</w:t>
      </w:r>
      <w:r w:rsidR="00E81E88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.</w:t>
      </w:r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900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cazuri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gripă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confirmată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laborator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au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fost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înregistrate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97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decese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.</w:t>
      </w:r>
      <w:proofErr w:type="gram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Până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data de 21.05.2023</w:t>
      </w:r>
      <w:r w:rsidRPr="009E78F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 xml:space="preserve"> </w:t>
      </w:r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au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fost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vaccinate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antigripal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1</w:t>
      </w:r>
      <w:r w:rsidR="006824DC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.</w:t>
      </w:r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486</w:t>
      </w:r>
      <w:r w:rsidR="006824DC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.</w:t>
      </w:r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600</w:t>
      </w:r>
      <w:r w:rsidRPr="009E78F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 xml:space="preserve"> </w:t>
      </w:r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de</w:t>
      </w:r>
      <w:r w:rsidRPr="009E78F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persoane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din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grupele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la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risc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, cu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vaccin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distribuit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Ministerul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Sănătății</w:t>
      </w:r>
      <w:proofErr w:type="spellEnd"/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.</w:t>
      </w:r>
      <w:r w:rsidRPr="009E78F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 xml:space="preserve"> </w:t>
      </w:r>
    </w:p>
    <w:p w:rsidR="0040241E" w:rsidRPr="009E78F1" w:rsidRDefault="0040241E" w:rsidP="00633D9F">
      <w:pPr>
        <w:shd w:val="clear" w:color="auto" w:fill="FFFFFF"/>
        <w:ind w:firstLine="720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Virusul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COVID-19</w:t>
      </w:r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apărut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la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sfârșitul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anului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2019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s-a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răspândit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foarte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rapid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cauzând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9E78F1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</w:t>
      </w:r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la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nivel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global,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până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data de 17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mai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2023, 766.440.796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cazuri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6.932.591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>decese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40241E" w:rsidRPr="009E78F1" w:rsidRDefault="0040241E" w:rsidP="0040241E">
      <w:pPr>
        <w:shd w:val="clear" w:color="auto" w:fill="FFFFFF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Pe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teritoriul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României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anii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2020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2021,</w:t>
      </w:r>
      <w:r w:rsidR="00D10E6E"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au </w:t>
      </w:r>
      <w:proofErr w:type="spellStart"/>
      <w:r w:rsidR="00D10E6E"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fost</w:t>
      </w:r>
      <w:proofErr w:type="spellEnd"/>
      <w:r w:rsidR="00D10E6E"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="00D10E6E"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înregistrate</w:t>
      </w:r>
      <w:proofErr w:type="spellEnd"/>
      <w:r w:rsidR="00D10E6E"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1.</w:t>
      </w:r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813</w:t>
      </w:r>
      <w:r w:rsidR="00D10E6E"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823 de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cazuri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58</w:t>
      </w:r>
      <w:r w:rsidR="00D10E6E"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971 de </w:t>
      </w:r>
      <w:proofErr w:type="spellStart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decese</w:t>
      </w:r>
      <w:proofErr w:type="spellEnd"/>
      <w:r w:rsidRPr="009E78F1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</w:t>
      </w:r>
      <w:r w:rsidRPr="009E78F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</w:t>
      </w:r>
    </w:p>
    <w:p w:rsidR="0040241E" w:rsidRPr="009E78F1" w:rsidRDefault="0040241E" w:rsidP="0040241E">
      <w:pPr>
        <w:shd w:val="clear" w:color="auto" w:fill="FFFFFF"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Ținând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cont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cirulația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concomitentă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celor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două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virusuri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vaccinarea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antigripală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proofErr w:type="gram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este</w:t>
      </w:r>
      <w:proofErr w:type="spellEnd"/>
      <w:proofErr w:type="gram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mai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importantă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deoarece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co-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infecția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virus gripal-SARS-COV-2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poate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avea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o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evoluție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severă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special la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grupele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populaționale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vulnerabile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.</w:t>
      </w:r>
    </w:p>
    <w:p w:rsidR="0040241E" w:rsidRPr="009E78F1" w:rsidRDefault="0040241E" w:rsidP="0040241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</w:pPr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Care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sunt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beneficiile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vaccinării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antigripale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?</w:t>
      </w:r>
    </w:p>
    <w:p w:rsidR="0040241E" w:rsidRPr="009E78F1" w:rsidRDefault="00C82242" w:rsidP="00C82242">
      <w:p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●   </w:t>
      </w:r>
      <w:proofErr w:type="spellStart"/>
      <w:proofErr w:type="gramStart"/>
      <w:r w:rsidR="0040241E"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prevenirea</w:t>
      </w:r>
      <w:proofErr w:type="spellEnd"/>
      <w:proofErr w:type="gramEnd"/>
      <w:r w:rsidR="0040241E"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="0040241E"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îmbolnăvirii</w:t>
      </w:r>
      <w:proofErr w:type="spellEnd"/>
      <w:r w:rsidR="0040241E"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1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lastRenderedPageBreak/>
        <w:t>diminuarea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severității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scurtarea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duratei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bolii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: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forme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ușoare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scurtă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durată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(1-2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zile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);</w:t>
      </w:r>
    </w:p>
    <w:p w:rsidR="0040241E" w:rsidRPr="009E78F1" w:rsidRDefault="0040241E" w:rsidP="0040241E">
      <w:pPr>
        <w:numPr>
          <w:ilvl w:val="0"/>
          <w:numId w:val="1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reducerea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semnificativă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spitalizărilor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deceselor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cauzate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gripă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pneumonii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1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reducerea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numărului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consultațiilor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vizitelor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la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domiciliu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1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reducerea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numărului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solicitărilor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la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serviciile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ambulanță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1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reducerea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numarului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concedii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medicale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acordate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pentru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gripă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infecții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respiratorii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acute;</w:t>
      </w:r>
    </w:p>
    <w:p w:rsidR="0040241E" w:rsidRPr="009E78F1" w:rsidRDefault="0040241E" w:rsidP="0040241E">
      <w:pPr>
        <w:numPr>
          <w:ilvl w:val="0"/>
          <w:numId w:val="1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proofErr w:type="gram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reducerea</w:t>
      </w:r>
      <w:proofErr w:type="spellEnd"/>
      <w:proofErr w:type="gram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folosirii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antibioticelor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afecțiunile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compatibile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cu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gripa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.</w:t>
      </w:r>
    </w:p>
    <w:p w:rsidR="0040241E" w:rsidRPr="009E78F1" w:rsidRDefault="0040241E" w:rsidP="0040241E">
      <w:pPr>
        <w:shd w:val="clear" w:color="auto" w:fill="FFFFFF"/>
        <w:jc w:val="both"/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Dacă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faceți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parte din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grupele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populaționale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la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risc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menționate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mai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proofErr w:type="gram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jos</w:t>
      </w:r>
      <w:proofErr w:type="spellEnd"/>
      <w:proofErr w:type="gram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adresați-vă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medicului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familie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pentru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a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beneficia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vaccinarea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antigripală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gratuită</w:t>
      </w:r>
      <w:proofErr w:type="spellEnd"/>
      <w:r w:rsidRPr="009E78F1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.</w:t>
      </w:r>
    </w:p>
    <w:p w:rsidR="0040241E" w:rsidRPr="009E78F1" w:rsidRDefault="0040241E" w:rsidP="0040241E">
      <w:pPr>
        <w:shd w:val="clear" w:color="auto" w:fill="FFFFFF"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</w:p>
    <w:p w:rsidR="0040241E" w:rsidRPr="009E78F1" w:rsidRDefault="0040241E" w:rsidP="0040241E">
      <w:pPr>
        <w:numPr>
          <w:ilvl w:val="0"/>
          <w:numId w:val="2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Persoane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cu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vârsta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cuprinsă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între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6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luni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– 64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ani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aflate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evidență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cu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afecțiuni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medicale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cronice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pulmonare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cardiovasculare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metabolice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renale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hepatice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neurologice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diabet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zaharat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obezitate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astm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sau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virusul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imunodeficienței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umane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2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Copii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cu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vârsta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cuprinsă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între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6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luni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35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luni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2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Gravide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2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Medici, cadre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sanitare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medii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personal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sanitar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auxiliar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atât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din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spitale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cât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din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unitățile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sanitare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ambulatorii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inclusiv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salariați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instituțiilor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ocrotire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(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copii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sau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bătrâni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)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unităților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bolnavi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cronici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care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prin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natura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activității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vin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contact respirator cu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pacienții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sau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asistații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Pr="009E78F1" w:rsidRDefault="0040241E" w:rsidP="0040241E">
      <w:pPr>
        <w:numPr>
          <w:ilvl w:val="0"/>
          <w:numId w:val="2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Persoane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adulți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copii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rezidente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instituții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ocrotire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socială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precum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persoane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care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acordă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asistență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medicală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,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socială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și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îngrijiri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la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domiciliu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persoanelor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la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risc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înalt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;</w:t>
      </w:r>
    </w:p>
    <w:p w:rsidR="0040241E" w:rsidRDefault="0040241E" w:rsidP="0040241E">
      <w:pPr>
        <w:numPr>
          <w:ilvl w:val="0"/>
          <w:numId w:val="2"/>
        </w:num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sz w:val="26"/>
          <w:szCs w:val="26"/>
          <w:lang w:val="en-GB" w:eastAsia="en-US"/>
        </w:rPr>
      </w:pP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Toate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persoanele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cu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vârsta</w:t>
      </w:r>
      <w:proofErr w:type="spellEnd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 xml:space="preserve"> ≥65 de </w:t>
      </w:r>
      <w:proofErr w:type="spellStart"/>
      <w:r w:rsidRPr="009E78F1">
        <w:rPr>
          <w:rFonts w:ascii="Times New Roman" w:eastAsia="Calibri" w:hAnsi="Times New Roman" w:cs="Times New Roman"/>
          <w:sz w:val="26"/>
          <w:szCs w:val="26"/>
          <w:lang w:val="en-GB" w:eastAsia="en-US"/>
        </w:rPr>
        <w:t>ani</w:t>
      </w:r>
      <w:proofErr w:type="spellEnd"/>
    </w:p>
    <w:p w:rsidR="001D3B85" w:rsidRPr="001D3B85" w:rsidRDefault="001D3B85" w:rsidP="001D3B85">
      <w:pPr>
        <w:shd w:val="clear" w:color="auto" w:fill="FFFFFF"/>
        <w:suppressAutoHyphens w:val="0"/>
        <w:overflowPunct/>
        <w:jc w:val="both"/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</w:pPr>
      <w:proofErr w:type="spellStart"/>
      <w:r w:rsidRPr="001D3B85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Mesajele</w:t>
      </w:r>
      <w:proofErr w:type="spellEnd"/>
      <w:r w:rsidRPr="001D3B85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 xml:space="preserve"> </w:t>
      </w:r>
      <w:proofErr w:type="spellStart"/>
      <w:r w:rsidRPr="001D3B85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campaniei</w:t>
      </w:r>
      <w:proofErr w:type="spellEnd"/>
      <w:r w:rsidRPr="001D3B85">
        <w:rPr>
          <w:rFonts w:ascii="Times New Roman" w:eastAsia="Calibri" w:hAnsi="Times New Roman" w:cs="Times New Roman"/>
          <w:b/>
          <w:sz w:val="26"/>
          <w:szCs w:val="26"/>
          <w:lang w:val="en-GB" w:eastAsia="en-US"/>
        </w:rPr>
        <w:t>:</w:t>
      </w:r>
    </w:p>
    <w:p w:rsidR="001D3B85" w:rsidRPr="001D3B85" w:rsidRDefault="001D3B85" w:rsidP="001D3B85">
      <w:pPr>
        <w:jc w:val="both"/>
        <w:rPr>
          <w:rFonts w:ascii="Times New Roman" w:eastAsia="SimSun" w:hAnsi="Times New Roman" w:cs="Times New Roman"/>
          <w:b/>
          <w:bCs/>
          <w:lang w:bidi="ar-SA"/>
        </w:rPr>
      </w:pP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>Împreună ț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>ine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>m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 xml:space="preserve"> gripa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 xml:space="preserve"> sezonieră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 xml:space="preserve"> și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 xml:space="preserve"> 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>COVID-19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 xml:space="preserve"> 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>la distanță în această toamnă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>-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>iarnă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>!</w:t>
      </w:r>
    </w:p>
    <w:p w:rsidR="001D3B85" w:rsidRPr="001D3B85" w:rsidRDefault="001D3B85" w:rsidP="001D3B85">
      <w:pPr>
        <w:jc w:val="both"/>
        <w:rPr>
          <w:rFonts w:ascii="Times New Roman" w:eastAsia="SimSun" w:hAnsi="Times New Roman" w:cs="Times New Roman"/>
          <w:b/>
          <w:bCs/>
          <w:lang w:bidi="ar-SA"/>
        </w:rPr>
      </w:pPr>
      <w:r>
        <w:rPr>
          <w:rFonts w:ascii="Times New Roman" w:eastAsia="SimSun" w:hAnsi="Times New Roman" w:cs="Times New Roman"/>
          <w:b/>
          <w:bCs/>
          <w:lang w:bidi="ar-SA"/>
        </w:rPr>
        <w:t xml:space="preserve">            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 xml:space="preserve">„IMPORTANȚA COMUNICĂRII” </w:t>
      </w:r>
    </w:p>
    <w:p w:rsidR="00364CC2" w:rsidRPr="001D3B85" w:rsidRDefault="005148BD" w:rsidP="001D3B85">
      <w:pPr>
        <w:numPr>
          <w:ilvl w:val="0"/>
          <w:numId w:val="6"/>
        </w:numPr>
        <w:jc w:val="both"/>
        <w:rPr>
          <w:rFonts w:ascii="Times New Roman" w:eastAsia="SimSun" w:hAnsi="Times New Roman" w:cs="Times New Roman"/>
          <w:b/>
          <w:bCs/>
          <w:lang w:bidi="ar-SA"/>
        </w:rPr>
      </w:pP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>Conversațiile deschise despre boli transmisibile și vaccinuri disponibile între pacienți și personalul implicat creează înțelegere și motivație pentru a urma recomandările de vaccinare.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 xml:space="preserve"> </w:t>
      </w:r>
    </w:p>
    <w:p w:rsidR="001D3B85" w:rsidRPr="001D3B85" w:rsidRDefault="001D3B85" w:rsidP="001D3B85">
      <w:pPr>
        <w:jc w:val="both"/>
        <w:rPr>
          <w:rFonts w:ascii="Times New Roman" w:eastAsia="SimSun" w:hAnsi="Times New Roman" w:cs="Times New Roman"/>
          <w:b/>
          <w:bCs/>
          <w:lang w:bidi="ar-SA"/>
        </w:rPr>
      </w:pPr>
      <w:r>
        <w:rPr>
          <w:rFonts w:ascii="Times New Roman" w:eastAsia="SimSun" w:hAnsi="Times New Roman" w:cs="Times New Roman"/>
          <w:b/>
          <w:bCs/>
          <w:lang w:bidi="ar-SA"/>
        </w:rPr>
        <w:t xml:space="preserve">           </w:t>
      </w: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 xml:space="preserve">„ADOPTAREA VACCINĂRII anti-gripale și anti-COVID-19” </w:t>
      </w:r>
    </w:p>
    <w:p w:rsidR="00364CC2" w:rsidRPr="001D3B85" w:rsidRDefault="005148BD" w:rsidP="001D3B85">
      <w:pPr>
        <w:numPr>
          <w:ilvl w:val="0"/>
          <w:numId w:val="7"/>
        </w:numPr>
        <w:jc w:val="both"/>
        <w:rPr>
          <w:rFonts w:ascii="Times New Roman" w:eastAsia="SimSun" w:hAnsi="Times New Roman" w:cs="Times New Roman"/>
          <w:b/>
          <w:bCs/>
          <w:lang w:bidi="ar-SA"/>
        </w:rPr>
      </w:pPr>
      <w:r w:rsidRPr="001D3B85">
        <w:rPr>
          <w:rFonts w:ascii="Times New Roman" w:eastAsia="SimSun" w:hAnsi="Times New Roman" w:cs="Times New Roman"/>
          <w:b/>
          <w:bCs/>
          <w:lang w:val="vi-VN" w:bidi="ar-SA"/>
        </w:rPr>
        <w:t>Fiecare doză de vaccin recomandată este importantă pentru a vă proteja de bolile din sezonul rece pentru care există vaccin și care pot fi prevenite prin vaccinare.</w:t>
      </w:r>
      <w:r w:rsidRPr="001D3B85">
        <w:rPr>
          <w:rFonts w:ascii="Times New Roman" w:eastAsia="SimSun" w:hAnsi="Times New Roman" w:cs="Times New Roman"/>
          <w:b/>
          <w:bCs/>
          <w:lang w:val="ro-RO" w:bidi="ar-SA"/>
        </w:rPr>
        <w:t xml:space="preserve"> </w:t>
      </w:r>
    </w:p>
    <w:p w:rsidR="009E78F1" w:rsidRDefault="009E78F1" w:rsidP="0040241E">
      <w:pPr>
        <w:jc w:val="both"/>
        <w:rPr>
          <w:rFonts w:ascii="Times New Roman" w:eastAsia="SimSun" w:hAnsi="Times New Roman" w:cs="Times New Roman"/>
          <w:b/>
          <w:bCs/>
          <w:lang w:val="ro-RO" w:bidi="ar-SA"/>
        </w:rPr>
      </w:pPr>
    </w:p>
    <w:p w:rsidR="0040241E" w:rsidRDefault="0040241E" w:rsidP="0040241E">
      <w:pPr>
        <w:ind w:right="-406"/>
        <w:jc w:val="both"/>
        <w:rPr>
          <w:rFonts w:ascii="Times New Roman" w:hAnsi="Times New Roman" w:cs="Times New Roman"/>
        </w:rPr>
      </w:pPr>
      <w:r>
        <w:rPr>
          <w:lang w:val="ro-RO"/>
        </w:rPr>
        <w:t xml:space="preserve">   </w:t>
      </w:r>
      <w:r>
        <w:rPr>
          <w:rFonts w:ascii="Times New Roman" w:hAnsi="Times New Roman" w:cs="Times New Roman"/>
        </w:rPr>
        <w:t>DIRECTOR EXECUTIV,                                                          MEDIC SEF DEPARTAMENT SSP,</w:t>
      </w:r>
    </w:p>
    <w:p w:rsidR="0040241E" w:rsidRDefault="0040241E" w:rsidP="0040241E">
      <w:pPr>
        <w:ind w:right="-4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DR. SORIN STOICA                                                                    DR. GABRIELA COSTEA                 </w:t>
      </w:r>
    </w:p>
    <w:p w:rsidR="0040241E" w:rsidRDefault="0040241E" w:rsidP="0040241E">
      <w:pPr>
        <w:ind w:right="-4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40241E" w:rsidRDefault="0040241E" w:rsidP="0040241E">
      <w:pPr>
        <w:ind w:right="-406"/>
        <w:jc w:val="both"/>
        <w:rPr>
          <w:rFonts w:ascii="Times New Roman" w:hAnsi="Times New Roman" w:cs="Times New Roman"/>
        </w:rPr>
      </w:pPr>
    </w:p>
    <w:p w:rsidR="0040241E" w:rsidRDefault="00694170" w:rsidP="0040241E">
      <w:pPr>
        <w:ind w:right="-4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0241E"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="0040241E">
        <w:rPr>
          <w:rFonts w:ascii="Times New Roman" w:hAnsi="Times New Roman" w:cs="Times New Roman"/>
        </w:rPr>
        <w:t>Coordonator</w:t>
      </w:r>
      <w:proofErr w:type="spellEnd"/>
      <w:r w:rsidR="0040241E">
        <w:rPr>
          <w:rFonts w:ascii="Times New Roman" w:hAnsi="Times New Roman" w:cs="Times New Roman"/>
        </w:rPr>
        <w:t xml:space="preserve"> program PN XII.1,</w:t>
      </w:r>
    </w:p>
    <w:p w:rsidR="0040241E" w:rsidRDefault="0040241E" w:rsidP="0040241E">
      <w:pPr>
        <w:ind w:right="-4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Dr. </w:t>
      </w:r>
      <w:proofErr w:type="spellStart"/>
      <w:r>
        <w:rPr>
          <w:rFonts w:ascii="Times New Roman" w:hAnsi="Times New Roman" w:cs="Times New Roman"/>
        </w:rPr>
        <w:t>Aquilina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Meșină</w:t>
      </w:r>
      <w:proofErr w:type="spellEnd"/>
    </w:p>
    <w:p w:rsidR="00C75424" w:rsidRDefault="00C75424" w:rsidP="00C75424">
      <w:pPr>
        <w:ind w:right="-406"/>
        <w:rPr>
          <w:rFonts w:ascii="Times New Roman" w:hAnsi="Times New Roman" w:cs="Times New Roman"/>
        </w:rPr>
      </w:pPr>
    </w:p>
    <w:p w:rsidR="0040241E" w:rsidRDefault="00C75424" w:rsidP="00C75424">
      <w:pPr>
        <w:ind w:right="-4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40241E">
        <w:rPr>
          <w:rFonts w:ascii="Times New Roman" w:hAnsi="Times New Roman" w:cs="Times New Roman"/>
        </w:rPr>
        <w:t xml:space="preserve"> </w:t>
      </w:r>
      <w:proofErr w:type="spellStart"/>
      <w:r w:rsidR="0040241E">
        <w:rPr>
          <w:rFonts w:ascii="Times New Roman" w:hAnsi="Times New Roman" w:cs="Times New Roman"/>
          <w:sz w:val="20"/>
          <w:szCs w:val="20"/>
        </w:rPr>
        <w:t>Intocmit</w:t>
      </w:r>
      <w:proofErr w:type="spellEnd"/>
    </w:p>
    <w:p w:rsidR="0040241E" w:rsidRPr="00694170" w:rsidRDefault="0040241E" w:rsidP="00694170">
      <w:pPr>
        <w:ind w:right="-406"/>
        <w:jc w:val="right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As. </w:t>
      </w:r>
      <w:proofErr w:type="spellStart"/>
      <w:r>
        <w:rPr>
          <w:rFonts w:ascii="Times New Roman" w:hAnsi="Times New Roman" w:cs="Times New Roman"/>
          <w:sz w:val="20"/>
          <w:szCs w:val="20"/>
        </w:rPr>
        <w:t>Ilie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Roxana</w:t>
      </w:r>
    </w:p>
    <w:p w:rsidR="006439F9" w:rsidRDefault="006439F9">
      <w:pPr>
        <w:rPr>
          <w:rFonts w:hint="eastAsia"/>
        </w:rPr>
      </w:pPr>
    </w:p>
    <w:sectPr w:rsidR="006439F9" w:rsidSect="00643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6424"/>
    <w:multiLevelType w:val="hybridMultilevel"/>
    <w:tmpl w:val="98DA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170C"/>
    <w:multiLevelType w:val="hybridMultilevel"/>
    <w:tmpl w:val="8B220736"/>
    <w:lvl w:ilvl="0" w:tplc="7A347D6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E215C"/>
    <w:multiLevelType w:val="hybridMultilevel"/>
    <w:tmpl w:val="F328EF8A"/>
    <w:lvl w:ilvl="0" w:tplc="48184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CEEA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2DC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207F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8C6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0B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43B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C803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8D9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17388B"/>
    <w:multiLevelType w:val="hybridMultilevel"/>
    <w:tmpl w:val="B2A4C216"/>
    <w:lvl w:ilvl="0" w:tplc="73D09690"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0C1F6F"/>
    <w:multiLevelType w:val="hybridMultilevel"/>
    <w:tmpl w:val="9F7E1FFA"/>
    <w:lvl w:ilvl="0" w:tplc="5372D268">
      <w:numFmt w:val="bullet"/>
      <w:lvlText w:val="-"/>
      <w:lvlJc w:val="left"/>
      <w:pPr>
        <w:ind w:left="144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BB249A"/>
    <w:multiLevelType w:val="hybridMultilevel"/>
    <w:tmpl w:val="99A00BC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6C425BF7"/>
    <w:multiLevelType w:val="hybridMultilevel"/>
    <w:tmpl w:val="94341170"/>
    <w:lvl w:ilvl="0" w:tplc="39608C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0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9E35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06E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D636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A7F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C43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C07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CCD6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0241E"/>
    <w:rsid w:val="001D3B85"/>
    <w:rsid w:val="001E54B0"/>
    <w:rsid w:val="00364CC2"/>
    <w:rsid w:val="0040241E"/>
    <w:rsid w:val="005148BD"/>
    <w:rsid w:val="00633D9F"/>
    <w:rsid w:val="006439F9"/>
    <w:rsid w:val="006824DC"/>
    <w:rsid w:val="00694170"/>
    <w:rsid w:val="00741488"/>
    <w:rsid w:val="00757D6D"/>
    <w:rsid w:val="00850660"/>
    <w:rsid w:val="008F33F6"/>
    <w:rsid w:val="009E78F1"/>
    <w:rsid w:val="00A91A72"/>
    <w:rsid w:val="00B0722B"/>
    <w:rsid w:val="00C02309"/>
    <w:rsid w:val="00C606C2"/>
    <w:rsid w:val="00C75424"/>
    <w:rsid w:val="00C82242"/>
    <w:rsid w:val="00D027B2"/>
    <w:rsid w:val="00D10E6E"/>
    <w:rsid w:val="00D451AD"/>
    <w:rsid w:val="00E81E88"/>
    <w:rsid w:val="00F0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1E"/>
    <w:pPr>
      <w:suppressAutoHyphen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0241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40241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Strong">
    <w:name w:val="Strong"/>
    <w:basedOn w:val="DefaultParagraphFont"/>
    <w:qFormat/>
    <w:rsid w:val="0040241E"/>
    <w:rPr>
      <w:b/>
      <w:bCs/>
    </w:rPr>
  </w:style>
  <w:style w:type="paragraph" w:styleId="ListParagraph">
    <w:name w:val="List Paragraph"/>
    <w:basedOn w:val="Normal"/>
    <w:uiPriority w:val="34"/>
    <w:qFormat/>
    <w:rsid w:val="0040241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Ilie</dc:creator>
  <cp:keywords/>
  <dc:description/>
  <cp:lastModifiedBy>Roxana Ilie</cp:lastModifiedBy>
  <cp:revision>23</cp:revision>
  <cp:lastPrinted>2023-09-01T06:54:00Z</cp:lastPrinted>
  <dcterms:created xsi:type="dcterms:W3CDTF">2023-09-01T06:04:00Z</dcterms:created>
  <dcterms:modified xsi:type="dcterms:W3CDTF">2023-09-04T07:17:00Z</dcterms:modified>
</cp:coreProperties>
</file>